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textAlignment w:val="center"/>
        <w:rPr>
          <w:rFonts w:ascii="Times New Roman" w:hAnsi="Times New Roman" w:eastAsia="仿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/>
          <w:bCs/>
          <w:kern w:val="0"/>
          <w:sz w:val="32"/>
          <w:szCs w:val="32"/>
        </w:rPr>
        <w:t>1</w:t>
      </w:r>
      <w:r>
        <w:rPr>
          <w:rFonts w:ascii="Times New Roman" w:hAnsi="Times New Roman" w:eastAsia="仿宋"/>
          <w:bCs/>
          <w:kern w:val="0"/>
          <w:sz w:val="32"/>
          <w:szCs w:val="32"/>
        </w:rPr>
        <w:t>：</w:t>
      </w:r>
    </w:p>
    <w:p>
      <w:pPr>
        <w:widowControl/>
        <w:spacing w:line="300" w:lineRule="exact"/>
        <w:textAlignment w:val="center"/>
        <w:rPr>
          <w:rFonts w:ascii="Times New Roman" w:hAnsi="Times New Roman" w:eastAsia="仿宋"/>
          <w:bCs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长沙市望城区2020年事业单位工作人员（第三批次）招聘职位计划表</w:t>
      </w:r>
    </w:p>
    <w:tbl>
      <w:tblPr>
        <w:tblStyle w:val="3"/>
        <w:tblW w:w="135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2573"/>
        <w:gridCol w:w="451"/>
        <w:gridCol w:w="506"/>
        <w:gridCol w:w="406"/>
        <w:gridCol w:w="758"/>
        <w:gridCol w:w="709"/>
        <w:gridCol w:w="540"/>
        <w:gridCol w:w="1730"/>
        <w:gridCol w:w="1570"/>
        <w:gridCol w:w="480"/>
        <w:gridCol w:w="1080"/>
        <w:gridCol w:w="930"/>
        <w:gridCol w:w="15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经费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最低学历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最低学位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其他资格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开考比例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笔试内容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区纪委下属信息中心、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区退役军人事务局下属退役军人服务中心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电子、通信、计算机类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纪委下属信息中心招聘2人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区数据资源中心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  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电子、通信、计算机类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3年以上电子政务和智慧城市等相关行业的工作经历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区人大办下属代表服务中心、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区委统战部下属统战事务中心、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区农业局下属土地流转中心、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区退役军人事务局下属退役军人服务中心、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区住保中心、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区住保中心下属征收办、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区人社局下属社保中心、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区水利局下属河长制中心、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资规分局派驻镇街自然资源所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2020年应届毕业生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公共基础知识+申论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各镇街有空余编制的下属事业单位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2020年应届毕业生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公共基础知识+申论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区统计局下属普查中心、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长沙黑麋峰国家森林公园管理处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财务1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会计、会计学、财务管理、审计学、审计、财政学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区卫健局下属铜官街道第一社区卫生服务中心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财务2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自支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会计、会计学、财务管理、审计学、审计、财政学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区行政审批局下属政务中心、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区人社局下属信息中心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Cs w:val="21"/>
              </w:rPr>
              <w:t>区住建局下属质量安全监督站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质安监督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土建类、工商管理类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具备建筑工程中级以上职称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Cs w:val="21"/>
              </w:rPr>
              <w:t>区住建局下属质量安全监督站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工程造价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审核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土木工程、工程造价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Cs w:val="21"/>
              </w:rPr>
              <w:t>区住建局下属质量安全监督站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给排水管理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给排水科学与工程、城市地下空间工程、市政工程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区农业局下属疫病防控中心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驻场兽医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动物生产与动物医学类、畜牧畜医学类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区农业局下属农技中心、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区农业局下属扶贫开发中心、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区农业局下属土地流转中心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农技服务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区发改局下属投资事务中心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投资评审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事务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土建类、水利类、水利工程类、交通运输类、农林工程类、环境科学与工程类、环境与安全类、工程造价、工程管理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区审计局下属政府投资审计中心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会计、会计学、财务管理、审计学、审计、财政学</w:t>
            </w:r>
          </w:p>
        </w:tc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会计或审计中级职称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区审计局下属政府投资审计中心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资产评估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事务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资产评估、工程管理、会计学、会计、财务管理、审计学、审计、工程审计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1.具有注册评估师证;2.具有2年以上工作经验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资规分局派驻镇街自然资源所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国土事务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土地资源管理、资源环境科学、环境科学、环境工程、环境科学与工程、资源与环境、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资规分局派驻镇街自然资源所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规划事务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城乡规划、城市规划与设计 、城市规划、人文地理与城乡规划、城乡规划学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资规分局派驻镇街自然资源所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金融事务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资规分局下属林权事务中心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林业管理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林学、森林保护、森林保护学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资规分局下属地产所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招商事务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房地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产开发与管理、市场营销、国际商务、企业管理、工商管理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资规分局下属地产所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大地测量学与测量工程、测绘工程、地图学与地理信息系统、地理信息科学、地图制图学与地理信息工程、测绘科学与技术、地理空间信息工程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区水利局下属靖港电排、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区水利局下属大众垸堤委会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水利技术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水利水电工程、水务工程、水利科学与工程、水利工程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心血管内科医师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1.执业医师，执业范围内科专业；2.第一学历为全日制本科，且专业为临床医学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神经外科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1.执业医师，执业范围外科专业；2.第一学历为全日制本科，且专业为临床医学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骨外科医师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临床医学、外科学</w:t>
            </w: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1.执业医师，执业范围麻醉专业；2.第一学历为全日制本科，且专业为临床医学、麻醉学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区妇幼保健计划生育服务中心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放射科医师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临床医学、医学影像学、放射医学、影像医学与核医学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执业医师，执业范围医学影像和放射治疗专业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区疾控中心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卫生应急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处置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流行病与卫生统计学、劳动卫生与环境卫生学、公共卫生、公共卫生与预防医学、预防医学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疫情处置的消杀灭工作需要长时间负重，限男性。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乔口镇卫生院、高塘岭街道第二社区卫生服务中心、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执业医师、执业范围内科专业或全科医学专业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丁字湾街道社区卫生服务中心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临床医学、内科学、儿科学、外科学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执业医师，执业范围全科医学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茶亭镇中心卫生院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执业医师，执业范围儿科专业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乌山街道第一社区卫生服务中心、</w:t>
            </w:r>
            <w:r>
              <w:rPr>
                <w:rStyle w:val="4"/>
                <w:rFonts w:hint="default"/>
              </w:rPr>
              <w:t>桥驿镇中心卫生院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放射科</w:t>
            </w:r>
            <w:r>
              <w:rPr>
                <w:rStyle w:val="4"/>
                <w:rFonts w:hint="default"/>
              </w:rPr>
              <w:t>医师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临床医学、医学影像学、放射医学、影像医学与核医学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执业助理医师，执业范围医学影像和放射治疗专业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技能操作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77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976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68人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53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注：1.上述年龄要求30周岁及以下的招聘岗位，具有硕士研究生及以上学历的报考者年龄放宽至32周岁。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53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2.最低执业资格要求中，医师岗位执业类别要求西医临床类别，其中未注明执业范围的规培生，规培专业需与报考岗位一致。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53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3.职位</w:t>
            </w:r>
            <w:r>
              <w:rPr>
                <w:rFonts w:ascii="仿宋" w:hAnsi="仿宋" w:eastAsia="仿宋"/>
                <w:kern w:val="0"/>
                <w:szCs w:val="21"/>
              </w:rPr>
              <w:t>计划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表中</w:t>
            </w:r>
            <w:r>
              <w:rPr>
                <w:rFonts w:ascii="仿宋" w:hAnsi="仿宋" w:eastAsia="仿宋"/>
                <w:kern w:val="0"/>
                <w:szCs w:val="21"/>
              </w:rPr>
              <w:t>专业要求未标明类或大类时只指该专业。</w:t>
            </w:r>
          </w:p>
        </w:tc>
      </w:tr>
    </w:tbl>
    <w:p>
      <w:pPr>
        <w:widowControl/>
        <w:textAlignment w:val="center"/>
        <w:rPr>
          <w:rFonts w:ascii="仿宋" w:hAnsi="仿宋" w:eastAsia="仿宋"/>
          <w:kern w:val="0"/>
          <w:szCs w:val="21"/>
        </w:rPr>
      </w:pPr>
    </w:p>
    <w:p>
      <w:pPr>
        <w:jc w:val="left"/>
        <w:rPr>
          <w:rFonts w:ascii="Times New Roman" w:hAnsi="Times New Roman" w:eastAsia="仿宋"/>
          <w:bCs/>
          <w:kern w:val="0"/>
          <w:sz w:val="32"/>
          <w:szCs w:val="32"/>
        </w:rPr>
      </w:pPr>
    </w:p>
    <w:p>
      <w:pPr>
        <w:jc w:val="left"/>
        <w:rPr>
          <w:rFonts w:ascii="Times New Roman" w:hAnsi="Times New Roman" w:eastAsia="仿宋"/>
          <w:bCs/>
          <w:kern w:val="0"/>
          <w:sz w:val="32"/>
          <w:szCs w:val="32"/>
        </w:rPr>
      </w:pPr>
    </w:p>
    <w:p>
      <w:pPr>
        <w:jc w:val="left"/>
        <w:rPr>
          <w:rFonts w:ascii="Times New Roman" w:hAnsi="Times New Roman" w:eastAsia="仿宋"/>
          <w:bCs/>
          <w:kern w:val="0"/>
          <w:sz w:val="32"/>
          <w:szCs w:val="32"/>
        </w:rPr>
      </w:pPr>
    </w:p>
    <w:p>
      <w:pPr>
        <w:jc w:val="left"/>
        <w:rPr>
          <w:rFonts w:ascii="Times New Roman" w:hAnsi="Times New Roman" w:eastAsia="仿宋"/>
          <w:bCs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6"/>
    <w:rsid w:val="003D4C66"/>
    <w:rsid w:val="00745056"/>
    <w:rsid w:val="67D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564</Words>
  <Characters>3217</Characters>
  <Lines>26</Lines>
  <Paragraphs>7</Paragraphs>
  <TotalTime>2</TotalTime>
  <ScaleCrop>false</ScaleCrop>
  <LinksUpToDate>false</LinksUpToDate>
  <CharactersWithSpaces>3774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2020-09-10T13:34:00Z</dcterms:created>
  <dc:creator>USER-</dc:creator>
  <cp:lastModifiedBy>Miko</cp:lastModifiedBy>
  <dcterms:modified xsi:type="dcterms:W3CDTF">2020-09-15T00:19:57Z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